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5DAD" w14:textId="77777777" w:rsidR="00900E32" w:rsidRPr="006737E0" w:rsidRDefault="00900E32" w:rsidP="00900E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de-AT" w:eastAsia="de-DE"/>
        </w:rPr>
      </w:pPr>
      <w:r w:rsidRPr="006737E0">
        <w:rPr>
          <w:rFonts w:ascii="Calibri" w:eastAsia="Times New Roman" w:hAnsi="Calibri" w:cs="Times New Roman"/>
          <w:b/>
          <w:sz w:val="36"/>
          <w:szCs w:val="36"/>
          <w:lang w:val="de-AT" w:eastAsia="de-DE"/>
        </w:rPr>
        <w:t>AUFGABENSTELLUNG</w:t>
      </w:r>
    </w:p>
    <w:p w14:paraId="7BB8A590" w14:textId="77777777" w:rsidR="00900E32" w:rsidRPr="006737E0" w:rsidRDefault="00900E32" w:rsidP="00900E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de-AT" w:eastAsia="de-DE"/>
        </w:rPr>
      </w:pPr>
    </w:p>
    <w:p w14:paraId="75B47EEB" w14:textId="77777777" w:rsidR="00900E32" w:rsidRPr="006737E0" w:rsidRDefault="00900E32" w:rsidP="00900E32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de-AT" w:eastAsia="de-DE"/>
        </w:rPr>
      </w:pPr>
      <w:r w:rsidRPr="006737E0">
        <w:rPr>
          <w:rFonts w:ascii="Calibri" w:eastAsia="Times New Roman" w:hAnsi="Calibri" w:cs="Times New Roman"/>
          <w:b/>
          <w:sz w:val="32"/>
          <w:szCs w:val="32"/>
          <w:lang w:val="de-AT" w:eastAsia="de-DE"/>
        </w:rPr>
        <w:t>Prüfungsgebiet: RESTAURANT</w:t>
      </w:r>
    </w:p>
    <w:p w14:paraId="2875F615" w14:textId="791DE3F7" w:rsidR="00900E32" w:rsidRPr="006737E0" w:rsidRDefault="007114CD" w:rsidP="00900E32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de-AT" w:eastAsia="de-DE"/>
        </w:rPr>
      </w:pPr>
      <w:r>
        <w:rPr>
          <w:rFonts w:ascii="Calibri" w:eastAsia="Times New Roman" w:hAnsi="Calibri" w:cs="Times New Roman"/>
          <w:b/>
          <w:sz w:val="32"/>
          <w:szCs w:val="32"/>
          <w:lang w:val="de-AT" w:eastAsia="de-DE"/>
        </w:rPr>
        <w:t xml:space="preserve">Modell B </w:t>
      </w:r>
      <w:r w:rsidR="00900E32">
        <w:rPr>
          <w:rFonts w:ascii="Calibri" w:eastAsia="Times New Roman" w:hAnsi="Calibri" w:cs="Times New Roman"/>
          <w:b/>
          <w:sz w:val="32"/>
          <w:szCs w:val="32"/>
          <w:lang w:val="de-AT" w:eastAsia="de-DE"/>
        </w:rPr>
        <w:t>4</w:t>
      </w:r>
    </w:p>
    <w:p w14:paraId="506E4F15" w14:textId="77777777" w:rsidR="00900E32" w:rsidRPr="006737E0" w:rsidRDefault="00900E32" w:rsidP="00900E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de-AT" w:eastAsia="de-DE"/>
        </w:rPr>
      </w:pPr>
    </w:p>
    <w:p w14:paraId="3528D0AE" w14:textId="77777777" w:rsidR="007114CD" w:rsidRPr="007114CD" w:rsidRDefault="007114CD" w:rsidP="007114CD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7114CD">
        <w:rPr>
          <w:rFonts w:eastAsia="Times New Roman" w:cs="Times New Roman"/>
          <w:sz w:val="24"/>
          <w:szCs w:val="24"/>
          <w:lang w:val="de-AT" w:eastAsia="de-DE"/>
        </w:rPr>
        <w:t>Im Prüfungsrestaurant sind für vier Gäste ein Speisen- und Getränkeservice einschließlich Getränkeempfehlung sowie die Gästebetreuung durchzuführen.</w:t>
      </w:r>
    </w:p>
    <w:p w14:paraId="79DA782D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Für vier Personen ist ein internationales Grundgedeck aufzulegen und die entsprechende Mise en </w:t>
      </w:r>
      <w:proofErr w:type="spellStart"/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place</w:t>
      </w:r>
      <w:proofErr w:type="spellEnd"/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 selbstständig vorzubereiten sowie laut Bestellung der Gäste nachzudecken.</w:t>
      </w:r>
    </w:p>
    <w:p w14:paraId="4D4155CD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</w:p>
    <w:p w14:paraId="5E857243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de-DE"/>
        </w:rPr>
      </w:pPr>
      <w:proofErr w:type="spellStart"/>
      <w:r w:rsidRPr="007114CD">
        <w:rPr>
          <w:rFonts w:ascii="Calibri" w:eastAsia="Times New Roman" w:hAnsi="Calibri" w:cs="Times New Roman"/>
          <w:sz w:val="24"/>
          <w:szCs w:val="24"/>
          <w:lang w:val="en-US" w:eastAsia="de-DE"/>
        </w:rPr>
        <w:t>Serviceart</w:t>
      </w:r>
      <w:proofErr w:type="spellEnd"/>
      <w:r w:rsidRPr="007114CD">
        <w:rPr>
          <w:rFonts w:ascii="Calibri" w:eastAsia="Times New Roman" w:hAnsi="Calibri" w:cs="Times New Roman"/>
          <w:sz w:val="24"/>
          <w:szCs w:val="24"/>
          <w:lang w:val="en-US" w:eastAsia="de-DE"/>
        </w:rPr>
        <w:t xml:space="preserve">: À la carte-Service, </w:t>
      </w:r>
      <w:proofErr w:type="spellStart"/>
      <w:r w:rsidRPr="007114CD">
        <w:rPr>
          <w:rFonts w:ascii="Calibri" w:eastAsia="Times New Roman" w:hAnsi="Calibri" w:cs="Times New Roman"/>
          <w:sz w:val="24"/>
          <w:szCs w:val="24"/>
          <w:lang w:val="en-US" w:eastAsia="de-DE"/>
        </w:rPr>
        <w:t>Tellerservice</w:t>
      </w:r>
      <w:proofErr w:type="spellEnd"/>
    </w:p>
    <w:p w14:paraId="407D578C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de-DE"/>
        </w:rPr>
      </w:pPr>
    </w:p>
    <w:p w14:paraId="23945C38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Das Speisen- und Getränkeangebot des Hauses ist aus der beiliegenden Speise- und Getränkekarte zu entnehmen. Die Getränkeauswahl ist schriftlich zu fixieren.</w:t>
      </w:r>
    </w:p>
    <w:p w14:paraId="0DA29954" w14:textId="77777777" w:rsidR="007114CD" w:rsidRPr="007114CD" w:rsidRDefault="007114CD" w:rsidP="007114CD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31E0DBD8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Die Speisenauswahl aus der Karte ist von den Gästen zu erfragen, schriftlich festzuhalten und in der Küche zu annoncieren.</w:t>
      </w:r>
    </w:p>
    <w:p w14:paraId="1A5ECD61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</w:p>
    <w:p w14:paraId="41F9C8E5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Korrespondierende Getränke sind im Fachgespräch zu empfehlen.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269CDE0C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Der korrespondierende Wein zu Vor- und Hauptspeise ist glasweise anzubieten.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6AFF3891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Zur Hauptspeise wird Flaschenweinservice geboten.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5C29F415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Der Wein für den Hauptgang ist zu dekantieren.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5085A890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Der Wein für den Hauptgang ist zu belüften.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32A07B79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Die Weingläser sind zu </w:t>
      </w:r>
      <w:proofErr w:type="spellStart"/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avinieren</w:t>
      </w:r>
      <w:proofErr w:type="spellEnd"/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51AD9EA8" w14:textId="77777777" w:rsidR="007114CD" w:rsidRPr="007114CD" w:rsidRDefault="007114CD" w:rsidP="007114CD">
      <w:pPr>
        <w:numPr>
          <w:ilvl w:val="0"/>
          <w:numId w:val="2"/>
        </w:numPr>
        <w:tabs>
          <w:tab w:val="clear" w:pos="720"/>
          <w:tab w:val="num" w:pos="460"/>
        </w:tabs>
        <w:spacing w:after="0"/>
        <w:ind w:left="46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Der korrespondierende Wein zur Hauptspeise wird in der Portionskaraffe angeboten. </w:t>
      </w:r>
      <w:r w:rsidRPr="007114CD">
        <w:rPr>
          <w:sz w:val="24"/>
          <w:szCs w:val="24"/>
          <w:vertAlign w:val="superscript"/>
        </w:rPr>
        <w:t>1</w:t>
      </w:r>
      <w:r w:rsidRPr="007114CD">
        <w:rPr>
          <w:b/>
          <w:sz w:val="24"/>
          <w:szCs w:val="24"/>
          <w:vertAlign w:val="superscript"/>
        </w:rPr>
        <w:t>)</w:t>
      </w:r>
    </w:p>
    <w:p w14:paraId="0CAC7ABC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</w:p>
    <w:p w14:paraId="4FED40C2" w14:textId="77777777" w:rsidR="007114CD" w:rsidRPr="007114CD" w:rsidRDefault="007114CD" w:rsidP="007114CD">
      <w:pPr>
        <w:spacing w:after="0"/>
        <w:ind w:firstLine="41"/>
        <w:rPr>
          <w:rFonts w:eastAsia="Times New Roman" w:cs="Times New Roman"/>
          <w:sz w:val="24"/>
          <w:szCs w:val="24"/>
          <w:lang w:eastAsia="de-DE"/>
        </w:rPr>
      </w:pPr>
      <w:r w:rsidRPr="007114CD">
        <w:rPr>
          <w:sz w:val="24"/>
          <w:szCs w:val="24"/>
          <w:vertAlign w:val="superscript"/>
        </w:rPr>
        <w:t xml:space="preserve">   1</w:t>
      </w:r>
      <w:r w:rsidRPr="007114CD">
        <w:rPr>
          <w:b/>
          <w:sz w:val="24"/>
          <w:szCs w:val="24"/>
          <w:vertAlign w:val="superscript"/>
        </w:rPr>
        <w:t xml:space="preserve">) </w:t>
      </w:r>
      <w:r w:rsidRPr="007114CD">
        <w:rPr>
          <w:rFonts w:eastAsia="Times New Roman" w:cs="Times New Roman"/>
          <w:sz w:val="24"/>
          <w:szCs w:val="24"/>
          <w:lang w:eastAsia="de-DE"/>
        </w:rPr>
        <w:t>Nichtzutreffendes bitte streichen</w:t>
      </w:r>
    </w:p>
    <w:p w14:paraId="5BDA30BC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</w:p>
    <w:p w14:paraId="5C8C8977" w14:textId="77777777" w:rsidR="007114CD" w:rsidRPr="007114CD" w:rsidRDefault="007114CD" w:rsidP="007114CD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7114CD">
        <w:rPr>
          <w:rFonts w:eastAsia="Times New Roman" w:cs="Times New Roman"/>
          <w:b/>
          <w:sz w:val="24"/>
          <w:szCs w:val="24"/>
          <w:lang w:val="de-AT" w:eastAsia="de-DE"/>
        </w:rPr>
        <w:t>SPEISENANGEBOT SIEHE BEIBLATT</w:t>
      </w:r>
    </w:p>
    <w:p w14:paraId="16828D06" w14:textId="77777777" w:rsidR="007114CD" w:rsidRPr="007114CD" w:rsidRDefault="007114CD" w:rsidP="007114CD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val="de-AT" w:eastAsia="de-DE"/>
        </w:rPr>
      </w:pPr>
    </w:p>
    <w:p w14:paraId="2968DD26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  <w:t xml:space="preserve">Arbeitszeit: </w:t>
      </w:r>
      <w:bookmarkStart w:id="0" w:name="_GoBack"/>
      <w:bookmarkEnd w:id="0"/>
    </w:p>
    <w:p w14:paraId="36F8B699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</w:pPr>
    </w:p>
    <w:p w14:paraId="7E81E378" w14:textId="6478B385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proofErr w:type="spellStart"/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Stationenbereich</w:t>
      </w:r>
      <w:proofErr w:type="spellEnd"/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 w:rsidR="00EC784B"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(90 Min)</w:t>
      </w:r>
    </w:p>
    <w:p w14:paraId="58007544" w14:textId="058BD3CE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Praktische Durchführung </w:t>
      </w:r>
      <w:r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 w:rsidR="00EC784B"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(210 Minuten)</w:t>
      </w:r>
    </w:p>
    <w:p w14:paraId="249FA984" w14:textId="60493B2F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 xml:space="preserve">Beginn des Serviceablaufes </w:t>
      </w:r>
      <w:r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 w:rsidR="00EC784B">
        <w:rPr>
          <w:rFonts w:ascii="Calibri" w:eastAsia="Times New Roman" w:hAnsi="Calibri" w:cs="Times New Roman"/>
          <w:sz w:val="24"/>
          <w:szCs w:val="24"/>
          <w:lang w:val="de-AT" w:eastAsia="de-DE"/>
        </w:rPr>
        <w:tab/>
      </w:r>
      <w:r w:rsidRPr="007114CD">
        <w:rPr>
          <w:rFonts w:ascii="Calibri" w:eastAsia="Times New Roman" w:hAnsi="Calibri" w:cs="Times New Roman"/>
          <w:sz w:val="24"/>
          <w:szCs w:val="24"/>
          <w:lang w:val="de-AT" w:eastAsia="de-DE"/>
        </w:rPr>
        <w:t>(Zeitangabe)</w:t>
      </w:r>
    </w:p>
    <w:p w14:paraId="1C36F171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lang w:val="de-AT" w:eastAsia="de-DE"/>
        </w:rPr>
      </w:pPr>
    </w:p>
    <w:p w14:paraId="02D93048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  <w:t>Prüfungsraum:</w:t>
      </w:r>
    </w:p>
    <w:p w14:paraId="611DDE6B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</w:pPr>
    </w:p>
    <w:p w14:paraId="51EAABC7" w14:textId="77777777" w:rsidR="007114CD" w:rsidRPr="007114CD" w:rsidRDefault="007114CD" w:rsidP="007114CD">
      <w:pPr>
        <w:spacing w:after="0"/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</w:pPr>
      <w:r w:rsidRPr="007114CD">
        <w:rPr>
          <w:rFonts w:ascii="Calibri" w:eastAsia="Times New Roman" w:hAnsi="Calibri" w:cs="Times New Roman"/>
          <w:sz w:val="24"/>
          <w:szCs w:val="24"/>
          <w:u w:val="single"/>
          <w:lang w:val="de-AT" w:eastAsia="de-DE"/>
        </w:rPr>
        <w:t xml:space="preserve">Datum: </w:t>
      </w:r>
    </w:p>
    <w:p w14:paraId="0A3562BF" w14:textId="77777777" w:rsidR="00900E32" w:rsidRPr="007114CD" w:rsidRDefault="00900E32" w:rsidP="00900E3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AT" w:eastAsia="de-DE"/>
        </w:rPr>
      </w:pPr>
    </w:p>
    <w:p w14:paraId="45BECF52" w14:textId="77777777" w:rsidR="005B42B8" w:rsidRPr="007114CD" w:rsidRDefault="005B42B8">
      <w:pPr>
        <w:rPr>
          <w:sz w:val="24"/>
          <w:szCs w:val="24"/>
        </w:rPr>
      </w:pPr>
    </w:p>
    <w:sectPr w:rsidR="005B42B8" w:rsidRPr="00711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44"/>
    <w:multiLevelType w:val="hybridMultilevel"/>
    <w:tmpl w:val="BCDE46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6DC6"/>
    <w:multiLevelType w:val="hybridMultilevel"/>
    <w:tmpl w:val="4C629E8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2"/>
    <w:rsid w:val="000D5909"/>
    <w:rsid w:val="005B42B8"/>
    <w:rsid w:val="007114CD"/>
    <w:rsid w:val="00900E32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A33A"/>
  <w15:chartTrackingRefBased/>
  <w15:docId w15:val="{E1162FAB-9D08-4AAA-94CD-128322C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E32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82CB8-E27F-469F-965D-F283FB906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13C0D-BCB5-4108-846C-47A6955D4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MIKSOVA Ivana</cp:lastModifiedBy>
  <cp:revision>3</cp:revision>
  <dcterms:created xsi:type="dcterms:W3CDTF">2023-05-03T13:07:00Z</dcterms:created>
  <dcterms:modified xsi:type="dcterms:W3CDTF">2023-05-04T05:37:00Z</dcterms:modified>
</cp:coreProperties>
</file>